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86MS0079-01-2024-008937-36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05-1082/2615/2024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26"/>
          <w:szCs w:val="26"/>
        </w:rPr>
      </w:pP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10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ч.2 ст. 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должностного лица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Аминова </w:t>
      </w:r>
      <w:r>
        <w:rPr>
          <w:rFonts w:ascii="Times New Roman" w:eastAsia="Times New Roman" w:hAnsi="Times New Roman" w:cs="Times New Roman"/>
          <w:sz w:val="26"/>
          <w:szCs w:val="26"/>
        </w:rPr>
        <w:t>Файзуло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center"/>
        <w:rPr>
          <w:sz w:val="10"/>
          <w:szCs w:val="10"/>
        </w:rPr>
      </w:pP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региональной общественной организации Ханты-Мансийского автономного округа - Югры Таджикская национально-культурная диаспора «ВАХДАТ-СЕВЕР» (ЕДИНСТВО-СЕВЕР)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Аминов Ф.И.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ул. Семена Билецкого, д. 6, кв. 883</w:t>
      </w:r>
      <w:r>
        <w:rPr>
          <w:rFonts w:ascii="Times New Roman" w:eastAsia="Times New Roman" w:hAnsi="Times New Roman" w:cs="Times New Roman"/>
          <w:sz w:val="26"/>
          <w:szCs w:val="26"/>
        </w:rPr>
        <w:t>, г. Сургут, Ханты-Мансийский автономный округ – Югра</w:t>
      </w:r>
      <w:r>
        <w:rPr>
          <w:rFonts w:ascii="Times New Roman" w:eastAsia="Times New Roman" w:hAnsi="Times New Roman" w:cs="Times New Roman"/>
          <w:sz w:val="26"/>
          <w:szCs w:val="26"/>
        </w:rPr>
        <w:t>, не представил в ОСФР по ХМАО-Югре в г. Сургуте в установленный законодательством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страховых взносах срок (до 25.07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.2023) сведения о начисленных и уплаченным страховых взносах в составе единой формы сведений (ЕФС-1) за полугодие 2023 г.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Аминов Ф.И.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образом. Суд рассмотрел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Ф.И.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 в форме электронного документа не позднее 25-го числа месяца, следующего за отчетным периодом.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правонарушении; сведениями о несвоевременном предоставлении сведений по начисленным и уплаченным страховым взносам; выпиской из ЕГРЮЛ, сведениями о почтовых отправлениях.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26.11 КоАП РФ и признаются судом допустимыми, достоверными и достаточными для вывода о 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2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ст. 15.33 Кодекса Российской Федерации об административных правонарушениях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КоАП РФ,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ст. 29.10 Кодекс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Аминова </w:t>
      </w:r>
      <w:r>
        <w:rPr>
          <w:rFonts w:ascii="Times New Roman" w:eastAsia="Times New Roman" w:hAnsi="Times New Roman" w:cs="Times New Roman"/>
          <w:sz w:val="26"/>
          <w:szCs w:val="26"/>
        </w:rPr>
        <w:t>Файзуло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300 (трёхсот) р</w:t>
      </w:r>
      <w:r>
        <w:rPr>
          <w:rFonts w:ascii="Times New Roman" w:eastAsia="Times New Roman" w:hAnsi="Times New Roman" w:cs="Times New Roman"/>
          <w:sz w:val="26"/>
          <w:szCs w:val="26"/>
        </w:rPr>
        <w:t>ублей.</w:t>
      </w:r>
    </w:p>
    <w:p>
      <w:pPr>
        <w:widowControl w:val="0"/>
        <w:spacing w:before="0" w:after="0" w:line="209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widowControl w:val="0"/>
        <w:spacing w:before="0" w:after="0" w:line="209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71871000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79711601230060003140,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7978600</w:t>
      </w:r>
      <w:r>
        <w:rPr>
          <w:rFonts w:ascii="Times New Roman" w:eastAsia="Times New Roman" w:hAnsi="Times New Roman" w:cs="Times New Roman"/>
          <w:sz w:val="22"/>
          <w:szCs w:val="22"/>
        </w:rPr>
        <w:t>2106240198092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9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</w:pPr>
      <w:r>
        <w:rPr>
          <w:rStyle w:val="cat-UserDefinedgrp-50rplc-49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47">
    <w:name w:val="cat-UserDefined grp-49 rplc-47"/>
    <w:basedOn w:val="DefaultParagraphFont"/>
  </w:style>
  <w:style w:type="character" w:customStyle="1" w:styleId="cat-UserDefinedgrp-50rplc-49">
    <w:name w:val="cat-UserDefined grp-5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